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2121" w:rsidRPr="00A2307A" w:rsidRDefault="00B55E6C" w:rsidP="00B55E6C">
      <w:pPr>
        <w:pStyle w:val="normal0"/>
        <w:widowControl w:val="0"/>
        <w:rPr>
          <w:rFonts w:ascii="Calibri" w:hAnsi="Calibri" w:cs="Calibri"/>
          <w:sz w:val="20"/>
          <w:szCs w:val="20"/>
        </w:rPr>
      </w:pPr>
      <w:r w:rsidRPr="00A2307A">
        <w:rPr>
          <w:rFonts w:ascii="Calibri" w:hAnsi="Calibri" w:cs="Calibri"/>
          <w:sz w:val="20"/>
          <w:szCs w:val="20"/>
        </w:rPr>
        <w:t>FORUM: Economic and Social Council</w:t>
      </w:r>
    </w:p>
    <w:p w:rsidR="007B2121" w:rsidRPr="00A2307A" w:rsidRDefault="00B55E6C">
      <w:pPr>
        <w:pStyle w:val="normal0"/>
        <w:widowControl w:val="0"/>
        <w:rPr>
          <w:rFonts w:ascii="Calibri" w:hAnsi="Calibri" w:cs="Calibri"/>
          <w:sz w:val="20"/>
          <w:szCs w:val="20"/>
        </w:rPr>
      </w:pPr>
      <w:r w:rsidRPr="00A2307A">
        <w:rPr>
          <w:rFonts w:ascii="Calibri" w:hAnsi="Calibri" w:cs="Calibri"/>
          <w:sz w:val="20"/>
          <w:szCs w:val="20"/>
        </w:rPr>
        <w:t>TOPIC: The question of countries with poor human rights records hosting international events</w:t>
      </w:r>
    </w:p>
    <w:p w:rsidR="007B2121" w:rsidRPr="00A2307A" w:rsidRDefault="00B55E6C">
      <w:pPr>
        <w:pStyle w:val="normal0"/>
        <w:widowControl w:val="0"/>
        <w:rPr>
          <w:rFonts w:ascii="Calibri" w:hAnsi="Calibri" w:cs="Calibri"/>
          <w:sz w:val="20"/>
          <w:szCs w:val="20"/>
        </w:rPr>
      </w:pPr>
      <w:r w:rsidRPr="00A2307A">
        <w:rPr>
          <w:rFonts w:ascii="Calibri" w:hAnsi="Calibri" w:cs="Calibri"/>
          <w:sz w:val="20"/>
          <w:szCs w:val="20"/>
        </w:rPr>
        <w:t>MAIN SUBMITTER: Azerbaijan</w:t>
      </w:r>
    </w:p>
    <w:p w:rsidR="007B2121" w:rsidRPr="00A2307A" w:rsidRDefault="00B55E6C">
      <w:pPr>
        <w:pStyle w:val="normal0"/>
        <w:widowControl w:val="0"/>
        <w:rPr>
          <w:rFonts w:ascii="Calibri" w:hAnsi="Calibri" w:cs="Calibri"/>
          <w:sz w:val="20"/>
          <w:szCs w:val="20"/>
        </w:rPr>
      </w:pPr>
      <w:r w:rsidRPr="00A2307A">
        <w:rPr>
          <w:rFonts w:ascii="Calibri" w:hAnsi="Calibri" w:cs="Calibri"/>
          <w:sz w:val="20"/>
          <w:szCs w:val="20"/>
        </w:rPr>
        <w:t>CO-SUBMITTERS: Pakistan, Qatar</w:t>
      </w:r>
    </w:p>
    <w:p w:rsidR="007B2121" w:rsidRPr="00A2307A" w:rsidRDefault="007B2121">
      <w:pPr>
        <w:pStyle w:val="normal0"/>
        <w:widowControl w:val="0"/>
        <w:rPr>
          <w:rFonts w:ascii="Calibri" w:hAnsi="Calibri" w:cs="Calibri"/>
          <w:sz w:val="20"/>
          <w:szCs w:val="20"/>
        </w:rPr>
      </w:pPr>
    </w:p>
    <w:p w:rsidR="00157953" w:rsidRPr="00A2307A" w:rsidRDefault="00157953">
      <w:pPr>
        <w:pStyle w:val="normal0"/>
        <w:widowControl w:val="0"/>
        <w:rPr>
          <w:rFonts w:ascii="Calibri" w:hAnsi="Calibri" w:cs="Calibri"/>
          <w:sz w:val="20"/>
          <w:szCs w:val="20"/>
        </w:rPr>
      </w:pPr>
      <w:r w:rsidRPr="00A2307A">
        <w:rPr>
          <w:rFonts w:ascii="Calibri" w:hAnsi="Calibri" w:cs="Calibri"/>
          <w:sz w:val="20"/>
          <w:szCs w:val="20"/>
        </w:rPr>
        <w:t>THE GENERAL ASSEMBLY,</w:t>
      </w:r>
    </w:p>
    <w:p w:rsidR="007B2121" w:rsidRPr="00A2307A" w:rsidRDefault="007B2121">
      <w:pPr>
        <w:pStyle w:val="normal0"/>
        <w:widowControl w:val="0"/>
        <w:rPr>
          <w:rFonts w:ascii="Calibri" w:hAnsi="Calibri" w:cs="Calibri"/>
          <w:sz w:val="20"/>
          <w:szCs w:val="20"/>
        </w:rPr>
      </w:pPr>
    </w:p>
    <w:p w:rsidR="007B2121" w:rsidRPr="00A2307A" w:rsidRDefault="00B55E6C">
      <w:pPr>
        <w:pStyle w:val="normal0"/>
        <w:widowControl w:val="0"/>
        <w:rPr>
          <w:rFonts w:ascii="Calibri" w:hAnsi="Calibri" w:cs="Calibri"/>
          <w:sz w:val="20"/>
          <w:szCs w:val="20"/>
        </w:rPr>
      </w:pPr>
      <w:r w:rsidRPr="00A2307A">
        <w:rPr>
          <w:rFonts w:ascii="Calibri" w:hAnsi="Calibri" w:cs="Calibri"/>
          <w:b/>
          <w:i/>
          <w:sz w:val="20"/>
          <w:szCs w:val="20"/>
          <w:u w:val="single"/>
        </w:rPr>
        <w:t>Emphasizing</w:t>
      </w:r>
      <w:r w:rsidRPr="00A2307A">
        <w:rPr>
          <w:rFonts w:ascii="Calibri" w:hAnsi="Calibri" w:cs="Calibri"/>
          <w:sz w:val="20"/>
          <w:szCs w:val="20"/>
        </w:rPr>
        <w:t xml:space="preserve"> the value of international events to the host nation as an opportunity for substantial growth and development, </w:t>
      </w:r>
    </w:p>
    <w:p w:rsidR="007B2121" w:rsidRPr="00A2307A" w:rsidRDefault="007B2121">
      <w:pPr>
        <w:pStyle w:val="normal0"/>
        <w:widowControl w:val="0"/>
        <w:rPr>
          <w:rFonts w:ascii="Calibri" w:hAnsi="Calibri" w:cs="Calibri"/>
          <w:sz w:val="20"/>
          <w:szCs w:val="20"/>
        </w:rPr>
      </w:pPr>
    </w:p>
    <w:p w:rsidR="007B2121" w:rsidRPr="00A2307A" w:rsidRDefault="00B55E6C">
      <w:pPr>
        <w:pStyle w:val="normal0"/>
        <w:widowControl w:val="0"/>
        <w:rPr>
          <w:rFonts w:ascii="Calibri" w:hAnsi="Calibri" w:cs="Calibri"/>
          <w:sz w:val="20"/>
          <w:szCs w:val="20"/>
        </w:rPr>
      </w:pPr>
      <w:r w:rsidRPr="00A2307A">
        <w:rPr>
          <w:rFonts w:ascii="Calibri" w:hAnsi="Calibri" w:cs="Calibri"/>
          <w:b/>
          <w:i/>
          <w:sz w:val="20"/>
          <w:szCs w:val="20"/>
          <w:u w:val="single"/>
        </w:rPr>
        <w:t>Deeply</w:t>
      </w:r>
      <w:r w:rsidRPr="00A2307A">
        <w:rPr>
          <w:rFonts w:ascii="Calibri" w:hAnsi="Calibri" w:cs="Calibri"/>
          <w:i/>
          <w:sz w:val="20"/>
          <w:szCs w:val="20"/>
          <w:u w:val="single"/>
        </w:rPr>
        <w:t xml:space="preserve"> </w:t>
      </w:r>
      <w:r w:rsidRPr="00A2307A">
        <w:rPr>
          <w:rFonts w:ascii="Calibri" w:hAnsi="Calibri" w:cs="Calibri"/>
          <w:b/>
          <w:i/>
          <w:sz w:val="20"/>
          <w:szCs w:val="20"/>
          <w:u w:val="single"/>
        </w:rPr>
        <w:t>conscious</w:t>
      </w:r>
      <w:r w:rsidRPr="00A2307A">
        <w:rPr>
          <w:rFonts w:ascii="Calibri" w:hAnsi="Calibri" w:cs="Calibri"/>
          <w:b/>
          <w:i/>
          <w:sz w:val="20"/>
          <w:szCs w:val="20"/>
        </w:rPr>
        <w:t xml:space="preserve"> </w:t>
      </w:r>
      <w:r w:rsidRPr="00A2307A">
        <w:rPr>
          <w:rFonts w:ascii="Calibri" w:hAnsi="Calibri" w:cs="Calibri"/>
          <w:sz w:val="20"/>
          <w:szCs w:val="20"/>
        </w:rPr>
        <w:t>of</w:t>
      </w:r>
      <w:r w:rsidRPr="00A2307A">
        <w:rPr>
          <w:rFonts w:ascii="Calibri" w:hAnsi="Calibri" w:cs="Calibri"/>
          <w:i/>
          <w:sz w:val="20"/>
          <w:szCs w:val="20"/>
        </w:rPr>
        <w:t xml:space="preserve"> </w:t>
      </w:r>
      <w:r w:rsidRPr="00A2307A">
        <w:rPr>
          <w:rFonts w:ascii="Calibri" w:hAnsi="Calibri" w:cs="Calibri"/>
          <w:sz w:val="20"/>
          <w:szCs w:val="20"/>
        </w:rPr>
        <w:t>potential threats to the security of these international events, especially in nations designated as having “poor human rights records”,</w:t>
      </w:r>
    </w:p>
    <w:p w:rsidR="007B2121" w:rsidRPr="00A2307A" w:rsidRDefault="007B2121">
      <w:pPr>
        <w:pStyle w:val="normal0"/>
        <w:widowControl w:val="0"/>
        <w:rPr>
          <w:rFonts w:ascii="Calibri" w:hAnsi="Calibri" w:cs="Calibri"/>
          <w:sz w:val="20"/>
          <w:szCs w:val="20"/>
        </w:rPr>
      </w:pPr>
    </w:p>
    <w:p w:rsidR="007B2121" w:rsidRPr="00A2307A" w:rsidRDefault="00B55E6C">
      <w:pPr>
        <w:pStyle w:val="normal0"/>
        <w:widowControl w:val="0"/>
        <w:rPr>
          <w:rFonts w:ascii="Calibri" w:hAnsi="Calibri" w:cs="Calibri"/>
          <w:sz w:val="20"/>
          <w:szCs w:val="20"/>
        </w:rPr>
      </w:pPr>
      <w:r w:rsidRPr="00A2307A">
        <w:rPr>
          <w:rFonts w:ascii="Calibri" w:hAnsi="Calibri" w:cs="Calibri"/>
          <w:b/>
          <w:i/>
          <w:sz w:val="20"/>
          <w:szCs w:val="20"/>
          <w:u w:val="single"/>
        </w:rPr>
        <w:t>Confident</w:t>
      </w:r>
      <w:r w:rsidRPr="00A2307A">
        <w:rPr>
          <w:rFonts w:ascii="Calibri" w:hAnsi="Calibri" w:cs="Calibri"/>
          <w:i/>
          <w:sz w:val="20"/>
          <w:szCs w:val="20"/>
        </w:rPr>
        <w:t xml:space="preserve"> </w:t>
      </w:r>
      <w:r w:rsidRPr="00A2307A">
        <w:rPr>
          <w:rFonts w:ascii="Calibri" w:hAnsi="Calibri" w:cs="Calibri"/>
          <w:sz w:val="20"/>
          <w:szCs w:val="20"/>
        </w:rPr>
        <w:t>that all nations hosting international events will uphold all associated responsibilities,</w:t>
      </w:r>
    </w:p>
    <w:p w:rsidR="007B2121" w:rsidRPr="00A2307A" w:rsidRDefault="007B2121">
      <w:pPr>
        <w:pStyle w:val="normal0"/>
        <w:widowControl w:val="0"/>
        <w:rPr>
          <w:rFonts w:ascii="Calibri" w:hAnsi="Calibri" w:cs="Calibri"/>
          <w:sz w:val="20"/>
          <w:szCs w:val="20"/>
        </w:rPr>
      </w:pPr>
    </w:p>
    <w:p w:rsidR="007B2121" w:rsidRPr="00A2307A" w:rsidRDefault="00B55E6C">
      <w:pPr>
        <w:pStyle w:val="normal0"/>
        <w:widowControl w:val="0"/>
        <w:numPr>
          <w:ilvl w:val="0"/>
          <w:numId w:val="1"/>
        </w:numPr>
        <w:ind w:hanging="359"/>
        <w:contextualSpacing/>
        <w:rPr>
          <w:rFonts w:ascii="Calibri" w:hAnsi="Calibri" w:cs="Calibri"/>
          <w:sz w:val="20"/>
          <w:szCs w:val="20"/>
        </w:rPr>
      </w:pPr>
      <w:r w:rsidRPr="00A2307A">
        <w:rPr>
          <w:rFonts w:ascii="Calibri" w:hAnsi="Calibri" w:cs="Calibri"/>
          <w:b/>
          <w:i/>
          <w:sz w:val="20"/>
          <w:szCs w:val="20"/>
          <w:u w:val="single"/>
        </w:rPr>
        <w:t>Affirms</w:t>
      </w:r>
      <w:r w:rsidRPr="00A2307A">
        <w:rPr>
          <w:rFonts w:ascii="Calibri" w:hAnsi="Calibri" w:cs="Calibri"/>
          <w:sz w:val="20"/>
          <w:szCs w:val="20"/>
        </w:rPr>
        <w:t xml:space="preserve"> the right of all capable nations to host international events, regardless of any social, political or other designation placed on the nation, so long as all possible efforts are taken to guarantee the safety and wellbeing of all involved;</w:t>
      </w:r>
    </w:p>
    <w:p w:rsidR="007B2121" w:rsidRPr="00A2307A" w:rsidRDefault="007B2121">
      <w:pPr>
        <w:pStyle w:val="normal0"/>
        <w:widowControl w:val="0"/>
        <w:rPr>
          <w:rFonts w:ascii="Calibri" w:hAnsi="Calibri" w:cs="Calibri"/>
          <w:sz w:val="20"/>
          <w:szCs w:val="20"/>
        </w:rPr>
      </w:pPr>
    </w:p>
    <w:p w:rsidR="007B2121" w:rsidRPr="00A2307A" w:rsidRDefault="00B55E6C">
      <w:pPr>
        <w:pStyle w:val="normal0"/>
        <w:widowControl w:val="0"/>
        <w:numPr>
          <w:ilvl w:val="0"/>
          <w:numId w:val="1"/>
        </w:numPr>
        <w:ind w:hanging="359"/>
        <w:contextualSpacing/>
        <w:rPr>
          <w:rFonts w:ascii="Calibri" w:hAnsi="Calibri" w:cs="Calibri"/>
          <w:sz w:val="20"/>
          <w:szCs w:val="20"/>
        </w:rPr>
      </w:pPr>
      <w:r w:rsidRPr="00A2307A">
        <w:rPr>
          <w:rFonts w:ascii="Calibri" w:hAnsi="Calibri" w:cs="Calibri"/>
          <w:b/>
          <w:i/>
          <w:sz w:val="20"/>
          <w:szCs w:val="20"/>
          <w:u w:val="single"/>
        </w:rPr>
        <w:t>Requests</w:t>
      </w:r>
      <w:r w:rsidRPr="00A2307A">
        <w:rPr>
          <w:rFonts w:ascii="Calibri" w:hAnsi="Calibri" w:cs="Calibri"/>
          <w:b/>
          <w:sz w:val="20"/>
          <w:szCs w:val="20"/>
          <w:u w:val="single"/>
        </w:rPr>
        <w:t xml:space="preserve"> </w:t>
      </w:r>
      <w:r w:rsidRPr="00A2307A">
        <w:rPr>
          <w:rFonts w:ascii="Calibri" w:hAnsi="Calibri" w:cs="Calibri"/>
          <w:sz w:val="20"/>
          <w:szCs w:val="20"/>
        </w:rPr>
        <w:t>all nations hosting major international events first conduct rigorous analysis to determine any potential hazards or threats in conjunction with the organizing body of the event, as well as determine methods of mitigating any risk in ways such as, but not limited to:</w:t>
      </w:r>
    </w:p>
    <w:p w:rsidR="007B2121" w:rsidRPr="00A2307A" w:rsidRDefault="00B55E6C">
      <w:pPr>
        <w:pStyle w:val="normal0"/>
        <w:widowControl w:val="0"/>
        <w:numPr>
          <w:ilvl w:val="1"/>
          <w:numId w:val="1"/>
        </w:numPr>
        <w:ind w:hanging="359"/>
        <w:contextualSpacing/>
        <w:rPr>
          <w:rFonts w:ascii="Calibri" w:hAnsi="Calibri" w:cs="Calibri"/>
          <w:sz w:val="20"/>
          <w:szCs w:val="20"/>
        </w:rPr>
      </w:pPr>
      <w:r w:rsidRPr="00A2307A">
        <w:rPr>
          <w:rFonts w:ascii="Calibri" w:hAnsi="Calibri" w:cs="Calibri"/>
          <w:sz w:val="20"/>
          <w:szCs w:val="20"/>
        </w:rPr>
        <w:t>Intelligence gathering through means such as:</w:t>
      </w:r>
    </w:p>
    <w:p w:rsidR="007B2121" w:rsidRPr="00A2307A" w:rsidRDefault="00B55E6C">
      <w:pPr>
        <w:pStyle w:val="normal0"/>
        <w:widowControl w:val="0"/>
        <w:numPr>
          <w:ilvl w:val="2"/>
          <w:numId w:val="1"/>
        </w:numPr>
        <w:ind w:hanging="359"/>
        <w:contextualSpacing/>
        <w:rPr>
          <w:rFonts w:ascii="Calibri" w:hAnsi="Calibri" w:cs="Calibri"/>
          <w:sz w:val="20"/>
          <w:szCs w:val="20"/>
        </w:rPr>
      </w:pPr>
      <w:r w:rsidRPr="00A2307A">
        <w:rPr>
          <w:rFonts w:ascii="Calibri" w:hAnsi="Calibri" w:cs="Calibri"/>
          <w:sz w:val="20"/>
          <w:szCs w:val="20"/>
        </w:rPr>
        <w:t>Law enforcement operations,</w:t>
      </w:r>
    </w:p>
    <w:p w:rsidR="007B2121" w:rsidRPr="00A2307A" w:rsidRDefault="00B55E6C">
      <w:pPr>
        <w:pStyle w:val="normal0"/>
        <w:widowControl w:val="0"/>
        <w:numPr>
          <w:ilvl w:val="2"/>
          <w:numId w:val="1"/>
        </w:numPr>
        <w:ind w:hanging="359"/>
        <w:contextualSpacing/>
        <w:rPr>
          <w:rFonts w:ascii="Calibri" w:hAnsi="Calibri" w:cs="Calibri"/>
          <w:sz w:val="20"/>
          <w:szCs w:val="20"/>
        </w:rPr>
      </w:pPr>
      <w:r w:rsidRPr="00A2307A">
        <w:rPr>
          <w:rFonts w:ascii="Calibri" w:hAnsi="Calibri" w:cs="Calibri"/>
          <w:sz w:val="20"/>
          <w:szCs w:val="20"/>
        </w:rPr>
        <w:t>Unmanned Aerial Vehicles (UAVs) where logistically and practically feasible,</w:t>
      </w:r>
    </w:p>
    <w:p w:rsidR="007B2121" w:rsidRPr="00A2307A" w:rsidRDefault="00B55E6C">
      <w:pPr>
        <w:pStyle w:val="normal0"/>
        <w:widowControl w:val="0"/>
        <w:numPr>
          <w:ilvl w:val="1"/>
          <w:numId w:val="1"/>
        </w:numPr>
        <w:ind w:hanging="359"/>
        <w:contextualSpacing/>
        <w:rPr>
          <w:rFonts w:ascii="Calibri" w:hAnsi="Calibri" w:cs="Calibri"/>
          <w:sz w:val="20"/>
          <w:szCs w:val="20"/>
        </w:rPr>
      </w:pPr>
      <w:r w:rsidRPr="00A2307A">
        <w:rPr>
          <w:rFonts w:ascii="Calibri" w:hAnsi="Calibri" w:cs="Calibri"/>
          <w:sz w:val="20"/>
          <w:szCs w:val="20"/>
        </w:rPr>
        <w:t>the consultation of specialist experts on public safety and counter-terrorism, such as, but not limited to:</w:t>
      </w:r>
    </w:p>
    <w:p w:rsidR="007B2121" w:rsidRPr="00A2307A" w:rsidRDefault="00B55E6C">
      <w:pPr>
        <w:pStyle w:val="normal0"/>
        <w:widowControl w:val="0"/>
        <w:numPr>
          <w:ilvl w:val="2"/>
          <w:numId w:val="1"/>
        </w:numPr>
        <w:ind w:hanging="359"/>
        <w:contextualSpacing/>
        <w:rPr>
          <w:rFonts w:ascii="Calibri" w:hAnsi="Calibri" w:cs="Calibri"/>
          <w:sz w:val="20"/>
          <w:szCs w:val="20"/>
        </w:rPr>
      </w:pPr>
      <w:r w:rsidRPr="00A2307A">
        <w:rPr>
          <w:rFonts w:ascii="Calibri" w:hAnsi="Calibri" w:cs="Calibri"/>
          <w:sz w:val="20"/>
          <w:szCs w:val="20"/>
          <w:highlight w:val="white"/>
        </w:rPr>
        <w:t>The International Criminal Police Organization (INTERPOL),</w:t>
      </w:r>
    </w:p>
    <w:p w:rsidR="007B2121" w:rsidRPr="00A2307A" w:rsidRDefault="00B55E6C">
      <w:pPr>
        <w:pStyle w:val="normal0"/>
        <w:widowControl w:val="0"/>
        <w:numPr>
          <w:ilvl w:val="2"/>
          <w:numId w:val="1"/>
        </w:numPr>
        <w:ind w:hanging="359"/>
        <w:contextualSpacing/>
        <w:rPr>
          <w:rFonts w:ascii="Calibri" w:hAnsi="Calibri" w:cs="Calibri"/>
          <w:sz w:val="20"/>
          <w:szCs w:val="20"/>
          <w:highlight w:val="white"/>
        </w:rPr>
      </w:pPr>
      <w:r w:rsidRPr="00A2307A">
        <w:rPr>
          <w:rFonts w:ascii="Calibri" w:hAnsi="Calibri" w:cs="Calibri"/>
          <w:sz w:val="20"/>
          <w:szCs w:val="20"/>
          <w:highlight w:val="white"/>
        </w:rPr>
        <w:t>Relevant governmental bodies of willing nations;</w:t>
      </w:r>
    </w:p>
    <w:p w:rsidR="007B2121" w:rsidRPr="00A2307A" w:rsidRDefault="007B2121">
      <w:pPr>
        <w:pStyle w:val="normal0"/>
        <w:widowControl w:val="0"/>
        <w:rPr>
          <w:rFonts w:ascii="Calibri" w:hAnsi="Calibri" w:cs="Calibri"/>
          <w:sz w:val="20"/>
          <w:szCs w:val="20"/>
        </w:rPr>
      </w:pPr>
    </w:p>
    <w:p w:rsidR="007B2121" w:rsidRPr="00A2307A" w:rsidRDefault="00B55E6C">
      <w:pPr>
        <w:pStyle w:val="normal0"/>
        <w:widowControl w:val="0"/>
        <w:numPr>
          <w:ilvl w:val="0"/>
          <w:numId w:val="1"/>
        </w:numPr>
        <w:ind w:hanging="359"/>
        <w:contextualSpacing/>
        <w:rPr>
          <w:rFonts w:ascii="Calibri" w:hAnsi="Calibri" w:cs="Calibri"/>
          <w:sz w:val="20"/>
          <w:szCs w:val="20"/>
        </w:rPr>
      </w:pPr>
      <w:r w:rsidRPr="00A2307A">
        <w:rPr>
          <w:rFonts w:ascii="Calibri" w:hAnsi="Calibri" w:cs="Calibri"/>
          <w:b/>
          <w:i/>
          <w:sz w:val="20"/>
          <w:szCs w:val="20"/>
          <w:u w:val="single"/>
        </w:rPr>
        <w:t>Strongly recommends</w:t>
      </w:r>
      <w:r w:rsidRPr="00A2307A">
        <w:rPr>
          <w:rFonts w:ascii="Calibri" w:hAnsi="Calibri" w:cs="Calibri"/>
          <w:sz w:val="20"/>
          <w:szCs w:val="20"/>
        </w:rPr>
        <w:t xml:space="preserve"> that all relevant nations hosting significant international events with potential major security concerns take steps to ensure the safety of all participants and spectators, through the implementation of measures such as, but not limited to:</w:t>
      </w:r>
    </w:p>
    <w:p w:rsidR="007B2121" w:rsidRPr="00A2307A" w:rsidRDefault="00B55E6C">
      <w:pPr>
        <w:pStyle w:val="normal0"/>
        <w:widowControl w:val="0"/>
        <w:numPr>
          <w:ilvl w:val="1"/>
          <w:numId w:val="1"/>
        </w:numPr>
        <w:ind w:hanging="359"/>
        <w:contextualSpacing/>
        <w:rPr>
          <w:rFonts w:ascii="Calibri" w:hAnsi="Calibri" w:cs="Calibri"/>
          <w:sz w:val="20"/>
          <w:szCs w:val="20"/>
        </w:rPr>
      </w:pPr>
      <w:r w:rsidRPr="00A2307A">
        <w:rPr>
          <w:rFonts w:ascii="Calibri" w:hAnsi="Calibri" w:cs="Calibri"/>
          <w:sz w:val="20"/>
          <w:szCs w:val="20"/>
        </w:rPr>
        <w:t>Security checkpoints around the venue of the event, with passage through each requiring correspondingly increasing levels of security checks, including but not limited to:</w:t>
      </w:r>
    </w:p>
    <w:p w:rsidR="007B2121" w:rsidRPr="00A2307A" w:rsidRDefault="00B55E6C">
      <w:pPr>
        <w:pStyle w:val="normal0"/>
        <w:widowControl w:val="0"/>
        <w:numPr>
          <w:ilvl w:val="2"/>
          <w:numId w:val="1"/>
        </w:numPr>
        <w:ind w:hanging="359"/>
        <w:contextualSpacing/>
        <w:rPr>
          <w:rFonts w:ascii="Calibri" w:hAnsi="Calibri" w:cs="Calibri"/>
          <w:sz w:val="20"/>
          <w:szCs w:val="20"/>
        </w:rPr>
      </w:pPr>
      <w:r w:rsidRPr="00A2307A">
        <w:rPr>
          <w:rFonts w:ascii="Calibri" w:hAnsi="Calibri" w:cs="Calibri"/>
          <w:sz w:val="20"/>
          <w:szCs w:val="20"/>
        </w:rPr>
        <w:t>Standard identity checks, with a form of personal identification such as passport or driving license,</w:t>
      </w:r>
    </w:p>
    <w:p w:rsidR="007B2121" w:rsidRPr="00A2307A" w:rsidRDefault="00B55E6C">
      <w:pPr>
        <w:pStyle w:val="normal0"/>
        <w:widowControl w:val="0"/>
        <w:numPr>
          <w:ilvl w:val="2"/>
          <w:numId w:val="1"/>
        </w:numPr>
        <w:ind w:hanging="359"/>
        <w:contextualSpacing/>
        <w:rPr>
          <w:rFonts w:ascii="Calibri" w:hAnsi="Calibri" w:cs="Calibri"/>
          <w:sz w:val="20"/>
          <w:szCs w:val="20"/>
        </w:rPr>
      </w:pPr>
      <w:r w:rsidRPr="00A2307A">
        <w:rPr>
          <w:rFonts w:ascii="Calibri" w:hAnsi="Calibri" w:cs="Calibri"/>
          <w:sz w:val="20"/>
          <w:szCs w:val="20"/>
        </w:rPr>
        <w:t>The requirement of vehicles to be registered either within the local region or have special registration specifically for the event to be able to pass later checkpoints,</w:t>
      </w:r>
    </w:p>
    <w:p w:rsidR="007B2121" w:rsidRPr="00A2307A" w:rsidRDefault="00B55E6C">
      <w:pPr>
        <w:pStyle w:val="normal0"/>
        <w:widowControl w:val="0"/>
        <w:numPr>
          <w:ilvl w:val="2"/>
          <w:numId w:val="1"/>
        </w:numPr>
        <w:ind w:hanging="359"/>
        <w:contextualSpacing/>
        <w:rPr>
          <w:rFonts w:ascii="Calibri" w:hAnsi="Calibri" w:cs="Calibri"/>
          <w:sz w:val="20"/>
          <w:szCs w:val="20"/>
        </w:rPr>
      </w:pPr>
      <w:r w:rsidRPr="00A2307A">
        <w:rPr>
          <w:rFonts w:ascii="Calibri" w:hAnsi="Calibri" w:cs="Calibri"/>
          <w:sz w:val="20"/>
          <w:szCs w:val="20"/>
        </w:rPr>
        <w:t>Security scanners to identify potential weapons which may be conceal</w:t>
      </w:r>
      <w:r w:rsidR="00A2307A">
        <w:rPr>
          <w:rFonts w:ascii="Calibri" w:hAnsi="Calibri" w:cs="Calibri"/>
          <w:sz w:val="20"/>
          <w:szCs w:val="20"/>
        </w:rPr>
        <w:t>ed and endanger civilians;</w:t>
      </w:r>
    </w:p>
    <w:p w:rsidR="007B2121" w:rsidRPr="00A2307A" w:rsidRDefault="007B2121">
      <w:pPr>
        <w:pStyle w:val="normal0"/>
        <w:widowControl w:val="0"/>
        <w:ind w:left="1440"/>
        <w:rPr>
          <w:rFonts w:ascii="Calibri" w:hAnsi="Calibri" w:cs="Calibri"/>
          <w:sz w:val="20"/>
          <w:szCs w:val="20"/>
        </w:rPr>
      </w:pPr>
    </w:p>
    <w:p w:rsidR="007B2121" w:rsidRPr="00A2307A" w:rsidRDefault="00B55E6C">
      <w:pPr>
        <w:pStyle w:val="normal0"/>
        <w:widowControl w:val="0"/>
        <w:numPr>
          <w:ilvl w:val="1"/>
          <w:numId w:val="1"/>
        </w:numPr>
        <w:ind w:hanging="359"/>
        <w:contextualSpacing/>
        <w:rPr>
          <w:rFonts w:ascii="Calibri" w:hAnsi="Calibri" w:cs="Calibri"/>
          <w:sz w:val="20"/>
          <w:szCs w:val="20"/>
        </w:rPr>
      </w:pPr>
      <w:r w:rsidRPr="00A2307A">
        <w:rPr>
          <w:rFonts w:ascii="Calibri" w:hAnsi="Calibri" w:cs="Calibri"/>
          <w:sz w:val="20"/>
          <w:szCs w:val="20"/>
        </w:rPr>
        <w:t>Improve surveillance around the event venue through means such as:</w:t>
      </w:r>
    </w:p>
    <w:p w:rsidR="007B2121" w:rsidRPr="00A2307A" w:rsidRDefault="00B55E6C">
      <w:pPr>
        <w:pStyle w:val="normal0"/>
        <w:widowControl w:val="0"/>
        <w:numPr>
          <w:ilvl w:val="2"/>
          <w:numId w:val="1"/>
        </w:numPr>
        <w:ind w:hanging="359"/>
        <w:contextualSpacing/>
        <w:rPr>
          <w:rFonts w:ascii="Calibri" w:hAnsi="Calibri" w:cs="Calibri"/>
          <w:sz w:val="20"/>
          <w:szCs w:val="20"/>
        </w:rPr>
      </w:pPr>
      <w:r w:rsidRPr="00A2307A">
        <w:rPr>
          <w:rFonts w:ascii="Calibri" w:hAnsi="Calibri" w:cs="Calibri"/>
          <w:sz w:val="20"/>
          <w:szCs w:val="20"/>
        </w:rPr>
        <w:t>Increased general police, with proper training, to have a presence within the area, with regular patrols commencing at least 6 months before the start of the event,</w:t>
      </w:r>
    </w:p>
    <w:p w:rsidR="007B2121" w:rsidRPr="00A2307A" w:rsidRDefault="00B55E6C">
      <w:pPr>
        <w:pStyle w:val="normal0"/>
        <w:widowControl w:val="0"/>
        <w:numPr>
          <w:ilvl w:val="2"/>
          <w:numId w:val="1"/>
        </w:numPr>
        <w:ind w:hanging="359"/>
        <w:contextualSpacing/>
        <w:rPr>
          <w:rFonts w:ascii="Calibri" w:hAnsi="Calibri" w:cs="Calibri"/>
          <w:sz w:val="20"/>
          <w:szCs w:val="20"/>
        </w:rPr>
      </w:pPr>
      <w:r w:rsidRPr="00A2307A">
        <w:rPr>
          <w:rFonts w:ascii="Calibri" w:hAnsi="Calibri" w:cs="Calibri"/>
          <w:sz w:val="20"/>
          <w:szCs w:val="20"/>
        </w:rPr>
        <w:t>The setup of high resolution CCTV cameras throughout the venue;</w:t>
      </w:r>
    </w:p>
    <w:p w:rsidR="007B2121" w:rsidRPr="00A2307A" w:rsidRDefault="007B2121">
      <w:pPr>
        <w:pStyle w:val="normal0"/>
        <w:widowControl w:val="0"/>
        <w:rPr>
          <w:rFonts w:ascii="Calibri" w:hAnsi="Calibri" w:cs="Calibri"/>
          <w:sz w:val="20"/>
          <w:szCs w:val="20"/>
        </w:rPr>
      </w:pPr>
    </w:p>
    <w:p w:rsidR="007B2121" w:rsidRPr="00A2307A" w:rsidRDefault="007B2121">
      <w:pPr>
        <w:pStyle w:val="normal0"/>
        <w:widowControl w:val="0"/>
        <w:rPr>
          <w:rFonts w:ascii="Calibri" w:hAnsi="Calibri" w:cs="Calibri"/>
          <w:sz w:val="20"/>
          <w:szCs w:val="20"/>
        </w:rPr>
      </w:pPr>
    </w:p>
    <w:p w:rsidR="007B2121" w:rsidRPr="00A2307A" w:rsidRDefault="00B55E6C">
      <w:pPr>
        <w:pStyle w:val="normal0"/>
        <w:widowControl w:val="0"/>
        <w:numPr>
          <w:ilvl w:val="0"/>
          <w:numId w:val="1"/>
        </w:numPr>
        <w:ind w:hanging="359"/>
        <w:contextualSpacing/>
        <w:rPr>
          <w:rFonts w:ascii="Calibri" w:hAnsi="Calibri" w:cs="Calibri"/>
          <w:sz w:val="20"/>
          <w:szCs w:val="20"/>
        </w:rPr>
      </w:pPr>
      <w:r w:rsidRPr="00A2307A">
        <w:rPr>
          <w:rFonts w:ascii="Calibri" w:hAnsi="Calibri" w:cs="Calibri"/>
          <w:b/>
          <w:i/>
          <w:sz w:val="20"/>
          <w:szCs w:val="20"/>
          <w:u w:val="single"/>
        </w:rPr>
        <w:t xml:space="preserve">Urges </w:t>
      </w:r>
      <w:r w:rsidRPr="00A2307A">
        <w:rPr>
          <w:rFonts w:ascii="Calibri" w:hAnsi="Calibri" w:cs="Calibri"/>
          <w:sz w:val="20"/>
          <w:szCs w:val="20"/>
        </w:rPr>
        <w:t>all nations to support and respect the decision making process of the organizing bodies, in terms of accepting the independent verdict on the host nation of the event and as such, refrain from arbitrary action such as:</w:t>
      </w:r>
    </w:p>
    <w:p w:rsidR="007B2121" w:rsidRPr="00A2307A" w:rsidRDefault="00B55E6C">
      <w:pPr>
        <w:pStyle w:val="normal0"/>
        <w:widowControl w:val="0"/>
        <w:numPr>
          <w:ilvl w:val="1"/>
          <w:numId w:val="1"/>
        </w:numPr>
        <w:ind w:hanging="359"/>
        <w:contextualSpacing/>
        <w:rPr>
          <w:rFonts w:ascii="Calibri" w:hAnsi="Calibri" w:cs="Calibri"/>
          <w:sz w:val="20"/>
          <w:szCs w:val="20"/>
        </w:rPr>
      </w:pPr>
      <w:r w:rsidRPr="00A2307A">
        <w:rPr>
          <w:rFonts w:ascii="Calibri" w:hAnsi="Calibri" w:cs="Calibri"/>
          <w:sz w:val="20"/>
          <w:szCs w:val="20"/>
        </w:rPr>
        <w:t>Calling for the venue of the event to be changed on account of baseless allegations attacking the integrity of the host nation,</w:t>
      </w:r>
    </w:p>
    <w:p w:rsidR="007B2121" w:rsidRPr="00A2307A" w:rsidRDefault="00B55E6C">
      <w:pPr>
        <w:pStyle w:val="normal0"/>
        <w:widowControl w:val="0"/>
        <w:numPr>
          <w:ilvl w:val="1"/>
          <w:numId w:val="1"/>
        </w:numPr>
        <w:ind w:hanging="359"/>
        <w:contextualSpacing/>
        <w:rPr>
          <w:rFonts w:ascii="Calibri" w:hAnsi="Calibri" w:cs="Calibri"/>
          <w:sz w:val="20"/>
          <w:szCs w:val="20"/>
        </w:rPr>
      </w:pPr>
      <w:r w:rsidRPr="00A2307A">
        <w:rPr>
          <w:rFonts w:ascii="Calibri" w:hAnsi="Calibri" w:cs="Calibri"/>
          <w:sz w:val="20"/>
          <w:szCs w:val="20"/>
        </w:rPr>
        <w:t>Leading an international boycott movement against the event;</w:t>
      </w:r>
    </w:p>
    <w:p w:rsidR="007B2121" w:rsidRPr="00A2307A" w:rsidRDefault="007B2121">
      <w:pPr>
        <w:pStyle w:val="normal0"/>
        <w:widowControl w:val="0"/>
        <w:rPr>
          <w:rFonts w:ascii="Calibri" w:hAnsi="Calibri" w:cs="Calibri"/>
          <w:sz w:val="20"/>
          <w:szCs w:val="20"/>
        </w:rPr>
      </w:pPr>
    </w:p>
    <w:p w:rsidR="007B2121" w:rsidRPr="00A2307A" w:rsidRDefault="00B55E6C">
      <w:pPr>
        <w:pStyle w:val="normal0"/>
        <w:widowControl w:val="0"/>
        <w:numPr>
          <w:ilvl w:val="0"/>
          <w:numId w:val="1"/>
        </w:numPr>
        <w:ind w:hanging="359"/>
        <w:contextualSpacing/>
        <w:rPr>
          <w:rFonts w:ascii="Calibri" w:hAnsi="Calibri" w:cs="Calibri"/>
          <w:b/>
          <w:sz w:val="20"/>
          <w:szCs w:val="20"/>
        </w:rPr>
      </w:pPr>
      <w:r w:rsidRPr="00A2307A">
        <w:rPr>
          <w:rFonts w:ascii="Calibri" w:hAnsi="Calibri" w:cs="Calibri"/>
          <w:b/>
          <w:i/>
          <w:sz w:val="20"/>
          <w:szCs w:val="20"/>
          <w:u w:val="single"/>
        </w:rPr>
        <w:t xml:space="preserve">Further Urges </w:t>
      </w:r>
      <w:r w:rsidRPr="00A2307A">
        <w:rPr>
          <w:rFonts w:ascii="Calibri" w:hAnsi="Calibri" w:cs="Calibri"/>
          <w:sz w:val="20"/>
          <w:szCs w:val="20"/>
        </w:rPr>
        <w:t>member nations with grievances regarding the human rights records of the host nation of a major international event to, instead of engaging in unproductive arbitrary action, seek official, diplomatic platforms of airing these grievances such as, but not limited to, the United Nations Human Rights Council (UNHRC);</w:t>
      </w:r>
    </w:p>
    <w:p w:rsidR="007B2121" w:rsidRPr="00A2307A" w:rsidRDefault="007B2121">
      <w:pPr>
        <w:pStyle w:val="normal0"/>
        <w:widowControl w:val="0"/>
        <w:ind w:left="720"/>
        <w:rPr>
          <w:rFonts w:ascii="Calibri" w:hAnsi="Calibri" w:cs="Calibri"/>
          <w:sz w:val="20"/>
          <w:szCs w:val="20"/>
        </w:rPr>
      </w:pPr>
    </w:p>
    <w:p w:rsidR="007B2121" w:rsidRPr="00A2307A" w:rsidRDefault="00B55E6C">
      <w:pPr>
        <w:pStyle w:val="normal0"/>
        <w:widowControl w:val="0"/>
        <w:numPr>
          <w:ilvl w:val="0"/>
          <w:numId w:val="1"/>
        </w:numPr>
        <w:ind w:hanging="359"/>
        <w:contextualSpacing/>
        <w:rPr>
          <w:rFonts w:ascii="Calibri" w:hAnsi="Calibri" w:cs="Calibri"/>
          <w:sz w:val="20"/>
          <w:szCs w:val="20"/>
        </w:rPr>
      </w:pPr>
      <w:r w:rsidRPr="00A2307A">
        <w:rPr>
          <w:rFonts w:ascii="Calibri" w:hAnsi="Calibri" w:cs="Calibri"/>
          <w:b/>
          <w:i/>
          <w:sz w:val="20"/>
          <w:szCs w:val="20"/>
          <w:u w:val="single"/>
        </w:rPr>
        <w:t>Encourages</w:t>
      </w:r>
      <w:r w:rsidRPr="00A2307A">
        <w:rPr>
          <w:rFonts w:ascii="Calibri" w:hAnsi="Calibri" w:cs="Calibri"/>
          <w:sz w:val="20"/>
          <w:szCs w:val="20"/>
        </w:rPr>
        <w:t xml:space="preserve"> all capable member nations to provide support to host nations, especially LEDCs, which request assistance in securing the event, through ways such as, but not limited to:</w:t>
      </w:r>
    </w:p>
    <w:p w:rsidR="007B2121" w:rsidRPr="00A2307A" w:rsidRDefault="00B55E6C">
      <w:pPr>
        <w:pStyle w:val="normal0"/>
        <w:widowControl w:val="0"/>
        <w:numPr>
          <w:ilvl w:val="1"/>
          <w:numId w:val="1"/>
        </w:numPr>
        <w:ind w:hanging="359"/>
        <w:contextualSpacing/>
        <w:rPr>
          <w:rFonts w:ascii="Calibri" w:hAnsi="Calibri" w:cs="Calibri"/>
          <w:sz w:val="20"/>
          <w:szCs w:val="20"/>
        </w:rPr>
      </w:pPr>
      <w:r w:rsidRPr="00A2307A">
        <w:rPr>
          <w:rFonts w:ascii="Calibri" w:hAnsi="Calibri" w:cs="Calibri"/>
          <w:sz w:val="20"/>
          <w:szCs w:val="20"/>
        </w:rPr>
        <w:t>The provision of technology facilitating the maintenance of full security at the event, such as drones designed for the facilitation of bomb disposal,</w:t>
      </w:r>
    </w:p>
    <w:p w:rsidR="007B2121" w:rsidRPr="00A2307A" w:rsidRDefault="00B55E6C">
      <w:pPr>
        <w:pStyle w:val="normal0"/>
        <w:widowControl w:val="0"/>
        <w:numPr>
          <w:ilvl w:val="1"/>
          <w:numId w:val="1"/>
        </w:numPr>
        <w:ind w:hanging="359"/>
        <w:contextualSpacing/>
        <w:rPr>
          <w:rFonts w:ascii="Calibri" w:hAnsi="Calibri" w:cs="Calibri"/>
          <w:sz w:val="20"/>
          <w:szCs w:val="20"/>
        </w:rPr>
      </w:pPr>
      <w:r w:rsidRPr="00A2307A">
        <w:rPr>
          <w:rFonts w:ascii="Calibri" w:hAnsi="Calibri" w:cs="Calibri"/>
          <w:sz w:val="20"/>
          <w:szCs w:val="20"/>
        </w:rPr>
        <w:t>The provision of expertise and training for local security staff from relevant governmental bodies covering topics such as:</w:t>
      </w:r>
    </w:p>
    <w:p w:rsidR="007B2121" w:rsidRPr="00A2307A" w:rsidRDefault="00B55E6C">
      <w:pPr>
        <w:pStyle w:val="normal0"/>
        <w:widowControl w:val="0"/>
        <w:numPr>
          <w:ilvl w:val="2"/>
          <w:numId w:val="1"/>
        </w:numPr>
        <w:ind w:hanging="359"/>
        <w:contextualSpacing/>
        <w:rPr>
          <w:rFonts w:ascii="Calibri" w:hAnsi="Calibri" w:cs="Calibri"/>
          <w:sz w:val="20"/>
          <w:szCs w:val="20"/>
        </w:rPr>
      </w:pPr>
      <w:r w:rsidRPr="00A2307A">
        <w:rPr>
          <w:rFonts w:ascii="Calibri" w:hAnsi="Calibri" w:cs="Calibri"/>
          <w:sz w:val="20"/>
          <w:szCs w:val="20"/>
        </w:rPr>
        <w:t>The identification of potential terrorist agents,</w:t>
      </w:r>
    </w:p>
    <w:p w:rsidR="007B2121" w:rsidRPr="00A2307A" w:rsidRDefault="00B55E6C">
      <w:pPr>
        <w:pStyle w:val="normal0"/>
        <w:widowControl w:val="0"/>
        <w:numPr>
          <w:ilvl w:val="2"/>
          <w:numId w:val="1"/>
        </w:numPr>
        <w:ind w:hanging="359"/>
        <w:contextualSpacing/>
        <w:rPr>
          <w:rFonts w:ascii="Calibri" w:hAnsi="Calibri" w:cs="Calibri"/>
          <w:sz w:val="20"/>
          <w:szCs w:val="20"/>
        </w:rPr>
      </w:pPr>
      <w:r w:rsidRPr="00A2307A">
        <w:rPr>
          <w:rFonts w:ascii="Calibri" w:hAnsi="Calibri" w:cs="Calibri"/>
          <w:sz w:val="20"/>
          <w:szCs w:val="20"/>
        </w:rPr>
        <w:t>The conduction of comprehensive checks on the premises and vehicles for suspicious items,</w:t>
      </w:r>
    </w:p>
    <w:p w:rsidR="007B2121" w:rsidRPr="00A2307A" w:rsidRDefault="00B55E6C">
      <w:pPr>
        <w:pStyle w:val="normal0"/>
        <w:widowControl w:val="0"/>
        <w:numPr>
          <w:ilvl w:val="2"/>
          <w:numId w:val="1"/>
        </w:numPr>
        <w:ind w:hanging="359"/>
        <w:contextualSpacing/>
        <w:rPr>
          <w:rFonts w:ascii="Calibri" w:hAnsi="Calibri" w:cs="Calibri"/>
          <w:sz w:val="20"/>
          <w:szCs w:val="20"/>
        </w:rPr>
      </w:pPr>
      <w:r w:rsidRPr="00A2307A">
        <w:rPr>
          <w:rFonts w:ascii="Calibri" w:hAnsi="Calibri" w:cs="Calibri"/>
          <w:sz w:val="20"/>
          <w:szCs w:val="20"/>
        </w:rPr>
        <w:t>Action to be taken if a credible threat is detected,</w:t>
      </w:r>
    </w:p>
    <w:p w:rsidR="007B2121" w:rsidRPr="00A2307A" w:rsidRDefault="00B55E6C">
      <w:pPr>
        <w:pStyle w:val="normal0"/>
        <w:widowControl w:val="0"/>
        <w:numPr>
          <w:ilvl w:val="2"/>
          <w:numId w:val="1"/>
        </w:numPr>
        <w:ind w:hanging="359"/>
        <w:contextualSpacing/>
        <w:rPr>
          <w:rFonts w:ascii="Calibri" w:hAnsi="Calibri" w:cs="Calibri"/>
          <w:sz w:val="20"/>
          <w:szCs w:val="20"/>
        </w:rPr>
      </w:pPr>
      <w:r w:rsidRPr="00A2307A">
        <w:rPr>
          <w:rFonts w:ascii="Calibri" w:hAnsi="Calibri" w:cs="Calibri"/>
          <w:sz w:val="20"/>
          <w:szCs w:val="20"/>
        </w:rPr>
        <w:t>Emergency evacuation procedures for the venue;</w:t>
      </w:r>
    </w:p>
    <w:p w:rsidR="007B2121" w:rsidRPr="00A2307A" w:rsidRDefault="007B2121">
      <w:pPr>
        <w:pStyle w:val="normal0"/>
        <w:widowControl w:val="0"/>
        <w:rPr>
          <w:rFonts w:ascii="Calibri" w:hAnsi="Calibri" w:cs="Calibri"/>
          <w:sz w:val="20"/>
          <w:szCs w:val="20"/>
        </w:rPr>
      </w:pPr>
    </w:p>
    <w:p w:rsidR="007B2121" w:rsidRPr="00A2307A" w:rsidRDefault="00B55E6C">
      <w:pPr>
        <w:pStyle w:val="normal0"/>
        <w:widowControl w:val="0"/>
        <w:numPr>
          <w:ilvl w:val="0"/>
          <w:numId w:val="1"/>
        </w:numPr>
        <w:ind w:hanging="359"/>
        <w:contextualSpacing/>
        <w:rPr>
          <w:rFonts w:ascii="Calibri" w:hAnsi="Calibri" w:cs="Calibri"/>
          <w:b/>
          <w:sz w:val="20"/>
          <w:szCs w:val="20"/>
        </w:rPr>
      </w:pPr>
      <w:r w:rsidRPr="00A2307A">
        <w:rPr>
          <w:rFonts w:ascii="Calibri" w:hAnsi="Calibri" w:cs="Calibri"/>
          <w:b/>
          <w:i/>
          <w:sz w:val="20"/>
          <w:szCs w:val="20"/>
          <w:u w:val="single"/>
        </w:rPr>
        <w:t>Calls upon</w:t>
      </w:r>
      <w:r w:rsidRPr="00A2307A">
        <w:rPr>
          <w:rFonts w:ascii="Calibri" w:hAnsi="Calibri" w:cs="Calibri"/>
          <w:sz w:val="20"/>
          <w:szCs w:val="20"/>
        </w:rPr>
        <w:t xml:space="preserve"> NGO’s, such as Amnesty International, to support countries that may need extra resources or financial aid to host international events in ways such as, but not limited to:</w:t>
      </w:r>
    </w:p>
    <w:p w:rsidR="007B2121" w:rsidRPr="00A2307A" w:rsidRDefault="00B55E6C">
      <w:pPr>
        <w:pStyle w:val="normal0"/>
        <w:widowControl w:val="0"/>
        <w:numPr>
          <w:ilvl w:val="1"/>
          <w:numId w:val="1"/>
        </w:numPr>
        <w:ind w:hanging="359"/>
        <w:contextualSpacing/>
        <w:rPr>
          <w:rFonts w:ascii="Calibri" w:hAnsi="Calibri" w:cs="Calibri"/>
          <w:sz w:val="20"/>
          <w:szCs w:val="20"/>
        </w:rPr>
      </w:pPr>
      <w:r w:rsidRPr="00A2307A">
        <w:rPr>
          <w:rFonts w:ascii="Calibri" w:hAnsi="Calibri" w:cs="Calibri"/>
          <w:sz w:val="20"/>
          <w:szCs w:val="20"/>
        </w:rPr>
        <w:t xml:space="preserve">Lending financial aid through the means of: </w:t>
      </w:r>
    </w:p>
    <w:p w:rsidR="007B2121" w:rsidRPr="00A2307A" w:rsidRDefault="00B55E6C">
      <w:pPr>
        <w:pStyle w:val="normal0"/>
        <w:widowControl w:val="0"/>
        <w:numPr>
          <w:ilvl w:val="2"/>
          <w:numId w:val="1"/>
        </w:numPr>
        <w:ind w:hanging="359"/>
        <w:contextualSpacing/>
        <w:rPr>
          <w:rFonts w:ascii="Calibri" w:hAnsi="Calibri" w:cs="Calibri"/>
          <w:sz w:val="20"/>
          <w:szCs w:val="20"/>
        </w:rPr>
      </w:pPr>
      <w:r w:rsidRPr="00A2307A">
        <w:rPr>
          <w:rFonts w:ascii="Calibri" w:hAnsi="Calibri" w:cs="Calibri"/>
          <w:sz w:val="20"/>
          <w:szCs w:val="20"/>
        </w:rPr>
        <w:t>Loans with lower interest,</w:t>
      </w:r>
    </w:p>
    <w:p w:rsidR="007B2121" w:rsidRPr="00A2307A" w:rsidRDefault="00B55E6C">
      <w:pPr>
        <w:pStyle w:val="normal0"/>
        <w:widowControl w:val="0"/>
        <w:numPr>
          <w:ilvl w:val="2"/>
          <w:numId w:val="1"/>
        </w:numPr>
        <w:ind w:hanging="359"/>
        <w:contextualSpacing/>
        <w:rPr>
          <w:rFonts w:ascii="Calibri" w:hAnsi="Calibri" w:cs="Calibri"/>
          <w:sz w:val="20"/>
          <w:szCs w:val="20"/>
        </w:rPr>
      </w:pPr>
      <w:r w:rsidRPr="00A2307A">
        <w:rPr>
          <w:rFonts w:ascii="Calibri" w:hAnsi="Calibri" w:cs="Calibri"/>
          <w:sz w:val="20"/>
          <w:szCs w:val="20"/>
        </w:rPr>
        <w:t>Subsidies for resources,</w:t>
      </w:r>
    </w:p>
    <w:p w:rsidR="007B2121" w:rsidRPr="00A2307A" w:rsidRDefault="00B55E6C">
      <w:pPr>
        <w:pStyle w:val="normal0"/>
        <w:widowControl w:val="0"/>
        <w:numPr>
          <w:ilvl w:val="1"/>
          <w:numId w:val="1"/>
        </w:numPr>
        <w:ind w:hanging="359"/>
        <w:contextualSpacing/>
        <w:rPr>
          <w:rFonts w:ascii="Calibri" w:hAnsi="Calibri" w:cs="Calibri"/>
          <w:sz w:val="20"/>
          <w:szCs w:val="20"/>
        </w:rPr>
      </w:pPr>
      <w:r w:rsidRPr="00A2307A">
        <w:rPr>
          <w:rFonts w:ascii="Calibri" w:hAnsi="Calibri" w:cs="Calibri"/>
          <w:sz w:val="20"/>
          <w:szCs w:val="20"/>
        </w:rPr>
        <w:t>Providing technological advances such as:</w:t>
      </w:r>
    </w:p>
    <w:p w:rsidR="007B2121" w:rsidRPr="00A2307A" w:rsidRDefault="00B55E6C">
      <w:pPr>
        <w:pStyle w:val="normal0"/>
        <w:widowControl w:val="0"/>
        <w:numPr>
          <w:ilvl w:val="2"/>
          <w:numId w:val="1"/>
        </w:numPr>
        <w:ind w:hanging="359"/>
        <w:contextualSpacing/>
        <w:rPr>
          <w:rFonts w:ascii="Calibri" w:hAnsi="Calibri" w:cs="Calibri"/>
          <w:sz w:val="20"/>
          <w:szCs w:val="20"/>
        </w:rPr>
      </w:pPr>
      <w:r w:rsidRPr="00A2307A">
        <w:rPr>
          <w:rFonts w:ascii="Calibri" w:hAnsi="Calibri" w:cs="Calibri"/>
          <w:sz w:val="20"/>
          <w:szCs w:val="20"/>
        </w:rPr>
        <w:t>Security cameras and security scanners,</w:t>
      </w:r>
    </w:p>
    <w:p w:rsidR="007B2121" w:rsidRPr="00A2307A" w:rsidRDefault="00B55E6C">
      <w:pPr>
        <w:pStyle w:val="normal0"/>
        <w:widowControl w:val="0"/>
        <w:numPr>
          <w:ilvl w:val="2"/>
          <w:numId w:val="1"/>
        </w:numPr>
        <w:ind w:hanging="359"/>
        <w:contextualSpacing/>
        <w:rPr>
          <w:rFonts w:ascii="Calibri" w:hAnsi="Calibri" w:cs="Calibri"/>
          <w:sz w:val="20"/>
          <w:szCs w:val="20"/>
        </w:rPr>
      </w:pPr>
      <w:r w:rsidRPr="00A2307A">
        <w:rPr>
          <w:rFonts w:ascii="Calibri" w:hAnsi="Calibri" w:cs="Calibri"/>
          <w:sz w:val="20"/>
          <w:szCs w:val="20"/>
        </w:rPr>
        <w:t>Constructional machinery;</w:t>
      </w:r>
    </w:p>
    <w:p w:rsidR="007B2121" w:rsidRPr="00A2307A" w:rsidRDefault="007B2121">
      <w:pPr>
        <w:pStyle w:val="normal0"/>
        <w:widowControl w:val="0"/>
        <w:rPr>
          <w:rFonts w:ascii="Calibri" w:hAnsi="Calibri" w:cs="Calibri"/>
          <w:sz w:val="20"/>
          <w:szCs w:val="20"/>
        </w:rPr>
      </w:pPr>
    </w:p>
    <w:p w:rsidR="007B2121" w:rsidRPr="00A2307A" w:rsidRDefault="007B2121">
      <w:pPr>
        <w:pStyle w:val="normal0"/>
        <w:widowControl w:val="0"/>
        <w:rPr>
          <w:rFonts w:ascii="Calibri" w:hAnsi="Calibri" w:cs="Calibri"/>
          <w:sz w:val="20"/>
          <w:szCs w:val="20"/>
        </w:rPr>
      </w:pPr>
    </w:p>
    <w:p w:rsidR="007B2121" w:rsidRPr="00A2307A" w:rsidRDefault="00B55E6C">
      <w:pPr>
        <w:pStyle w:val="normal0"/>
        <w:widowControl w:val="0"/>
        <w:numPr>
          <w:ilvl w:val="0"/>
          <w:numId w:val="1"/>
        </w:numPr>
        <w:ind w:hanging="359"/>
        <w:contextualSpacing/>
        <w:rPr>
          <w:rFonts w:ascii="Calibri" w:hAnsi="Calibri" w:cs="Calibri"/>
          <w:sz w:val="20"/>
          <w:szCs w:val="20"/>
        </w:rPr>
      </w:pPr>
      <w:r w:rsidRPr="00A2307A">
        <w:rPr>
          <w:rFonts w:ascii="Calibri" w:hAnsi="Calibri" w:cs="Calibri"/>
          <w:b/>
          <w:i/>
          <w:sz w:val="20"/>
          <w:szCs w:val="20"/>
          <w:u w:val="single"/>
        </w:rPr>
        <w:t>Further encourages</w:t>
      </w:r>
      <w:r w:rsidRPr="00A2307A">
        <w:rPr>
          <w:rFonts w:ascii="Calibri" w:hAnsi="Calibri" w:cs="Calibri"/>
          <w:i/>
          <w:sz w:val="20"/>
          <w:szCs w:val="20"/>
        </w:rPr>
        <w:t xml:space="preserve"> </w:t>
      </w:r>
      <w:r w:rsidRPr="00A2307A">
        <w:rPr>
          <w:rFonts w:ascii="Calibri" w:hAnsi="Calibri" w:cs="Calibri"/>
          <w:sz w:val="20"/>
          <w:szCs w:val="20"/>
        </w:rPr>
        <w:t>nations designated as having “poor human rights records” to continue their efforts in illustrating transparency through the hosting of international events, as well as maximize the potential benefits gained from the opportunity in ways, such as, but not limited to:</w:t>
      </w:r>
    </w:p>
    <w:p w:rsidR="007B2121" w:rsidRPr="00A2307A" w:rsidRDefault="00B55E6C">
      <w:pPr>
        <w:pStyle w:val="normal0"/>
        <w:widowControl w:val="0"/>
        <w:numPr>
          <w:ilvl w:val="1"/>
          <w:numId w:val="1"/>
        </w:numPr>
        <w:ind w:hanging="359"/>
        <w:contextualSpacing/>
        <w:rPr>
          <w:rFonts w:ascii="Calibri" w:hAnsi="Calibri" w:cs="Calibri"/>
          <w:sz w:val="20"/>
          <w:szCs w:val="20"/>
        </w:rPr>
      </w:pPr>
      <w:r w:rsidRPr="00A2307A">
        <w:rPr>
          <w:rFonts w:ascii="Calibri" w:hAnsi="Calibri" w:cs="Calibri"/>
          <w:sz w:val="20"/>
          <w:szCs w:val="20"/>
        </w:rPr>
        <w:t>The establishment and promotion of local employment drives, targeted at employing appropriately qualified individuals in short term employment for the event and related projects through methods such as:</w:t>
      </w:r>
    </w:p>
    <w:p w:rsidR="007B2121" w:rsidRPr="00A2307A" w:rsidRDefault="00B55E6C">
      <w:pPr>
        <w:pStyle w:val="normal0"/>
        <w:widowControl w:val="0"/>
        <w:numPr>
          <w:ilvl w:val="2"/>
          <w:numId w:val="1"/>
        </w:numPr>
        <w:ind w:hanging="359"/>
        <w:contextualSpacing/>
        <w:rPr>
          <w:rFonts w:ascii="Calibri" w:hAnsi="Calibri" w:cs="Calibri"/>
          <w:sz w:val="20"/>
          <w:szCs w:val="20"/>
        </w:rPr>
      </w:pPr>
      <w:r w:rsidRPr="00A2307A">
        <w:rPr>
          <w:rFonts w:ascii="Calibri" w:hAnsi="Calibri" w:cs="Calibri"/>
          <w:sz w:val="20"/>
          <w:szCs w:val="20"/>
        </w:rPr>
        <w:t>Radio, television and other mixed media advertising campaigns to boost public awareness on the available employment,</w:t>
      </w:r>
    </w:p>
    <w:p w:rsidR="007B2121" w:rsidRPr="00A2307A" w:rsidRDefault="00B55E6C">
      <w:pPr>
        <w:pStyle w:val="normal0"/>
        <w:widowControl w:val="0"/>
        <w:numPr>
          <w:ilvl w:val="2"/>
          <w:numId w:val="1"/>
        </w:numPr>
        <w:ind w:hanging="359"/>
        <w:contextualSpacing/>
        <w:rPr>
          <w:rFonts w:ascii="Calibri" w:hAnsi="Calibri" w:cs="Calibri"/>
          <w:sz w:val="20"/>
          <w:szCs w:val="20"/>
        </w:rPr>
      </w:pPr>
      <w:r w:rsidRPr="00A2307A">
        <w:rPr>
          <w:rFonts w:ascii="Calibri" w:hAnsi="Calibri" w:cs="Calibri"/>
          <w:sz w:val="20"/>
          <w:szCs w:val="20"/>
        </w:rPr>
        <w:t>Seminars at local universities or employment offices from members of the organizing body,</w:t>
      </w:r>
    </w:p>
    <w:p w:rsidR="007B2121" w:rsidRPr="00A2307A" w:rsidRDefault="00B55E6C">
      <w:pPr>
        <w:pStyle w:val="normal0"/>
        <w:widowControl w:val="0"/>
        <w:numPr>
          <w:ilvl w:val="1"/>
          <w:numId w:val="1"/>
        </w:numPr>
        <w:ind w:hanging="359"/>
        <w:contextualSpacing/>
        <w:rPr>
          <w:rFonts w:ascii="Calibri" w:hAnsi="Calibri" w:cs="Calibri"/>
          <w:sz w:val="20"/>
          <w:szCs w:val="20"/>
        </w:rPr>
      </w:pPr>
      <w:r w:rsidRPr="00A2307A">
        <w:rPr>
          <w:rFonts w:ascii="Calibri" w:hAnsi="Calibri" w:cs="Calibri"/>
          <w:sz w:val="20"/>
          <w:szCs w:val="20"/>
        </w:rPr>
        <w:lastRenderedPageBreak/>
        <w:t>The assistance and facilitation of training programs organized for the newly employed staff of major international events,</w:t>
      </w:r>
    </w:p>
    <w:p w:rsidR="007B2121" w:rsidRPr="00A2307A" w:rsidRDefault="00B55E6C">
      <w:pPr>
        <w:pStyle w:val="normal0"/>
        <w:widowControl w:val="0"/>
        <w:numPr>
          <w:ilvl w:val="1"/>
          <w:numId w:val="1"/>
        </w:numPr>
        <w:ind w:hanging="359"/>
        <w:contextualSpacing/>
        <w:rPr>
          <w:rFonts w:ascii="Calibri" w:hAnsi="Calibri" w:cs="Calibri"/>
          <w:sz w:val="20"/>
          <w:szCs w:val="20"/>
        </w:rPr>
      </w:pPr>
      <w:r w:rsidRPr="00A2307A">
        <w:rPr>
          <w:rFonts w:ascii="Calibri" w:hAnsi="Calibri" w:cs="Calibri"/>
          <w:sz w:val="20"/>
          <w:szCs w:val="20"/>
        </w:rPr>
        <w:t>The careful selection of the location of event venues, targeted based on factors such as, but not limited to:</w:t>
      </w:r>
    </w:p>
    <w:p w:rsidR="007B2121" w:rsidRPr="00A2307A" w:rsidRDefault="00B55E6C">
      <w:pPr>
        <w:pStyle w:val="normal0"/>
        <w:widowControl w:val="0"/>
        <w:numPr>
          <w:ilvl w:val="2"/>
          <w:numId w:val="1"/>
        </w:numPr>
        <w:ind w:hanging="359"/>
        <w:contextualSpacing/>
        <w:rPr>
          <w:rFonts w:ascii="Calibri" w:hAnsi="Calibri" w:cs="Calibri"/>
          <w:sz w:val="20"/>
          <w:szCs w:val="20"/>
        </w:rPr>
      </w:pPr>
      <w:r w:rsidRPr="00A2307A">
        <w:rPr>
          <w:rFonts w:ascii="Calibri" w:hAnsi="Calibri" w:cs="Calibri"/>
          <w:sz w:val="20"/>
          <w:szCs w:val="20"/>
        </w:rPr>
        <w:t>Scale and size of construction necessary,</w:t>
      </w:r>
    </w:p>
    <w:p w:rsidR="007B2121" w:rsidRPr="00A2307A" w:rsidRDefault="00B55E6C">
      <w:pPr>
        <w:pStyle w:val="normal0"/>
        <w:widowControl w:val="0"/>
        <w:numPr>
          <w:ilvl w:val="2"/>
          <w:numId w:val="1"/>
        </w:numPr>
        <w:ind w:hanging="359"/>
        <w:contextualSpacing/>
        <w:rPr>
          <w:rFonts w:ascii="Calibri" w:hAnsi="Calibri" w:cs="Calibri"/>
          <w:sz w:val="20"/>
          <w:szCs w:val="20"/>
        </w:rPr>
      </w:pPr>
      <w:r w:rsidRPr="00A2307A">
        <w:rPr>
          <w:rFonts w:ascii="Calibri" w:hAnsi="Calibri" w:cs="Calibri"/>
          <w:sz w:val="20"/>
          <w:szCs w:val="20"/>
        </w:rPr>
        <w:t>Possible disruptions to existing infrastructure,</w:t>
      </w:r>
    </w:p>
    <w:p w:rsidR="007B2121" w:rsidRPr="00A2307A" w:rsidRDefault="00B55E6C">
      <w:pPr>
        <w:pStyle w:val="normal0"/>
        <w:widowControl w:val="0"/>
        <w:numPr>
          <w:ilvl w:val="2"/>
          <w:numId w:val="1"/>
        </w:numPr>
        <w:ind w:hanging="359"/>
        <w:contextualSpacing/>
        <w:rPr>
          <w:rFonts w:ascii="Calibri" w:hAnsi="Calibri" w:cs="Calibri"/>
          <w:sz w:val="20"/>
          <w:szCs w:val="20"/>
        </w:rPr>
      </w:pPr>
      <w:r w:rsidRPr="00A2307A">
        <w:rPr>
          <w:rFonts w:ascii="Calibri" w:hAnsi="Calibri" w:cs="Calibri"/>
          <w:sz w:val="20"/>
          <w:szCs w:val="20"/>
        </w:rPr>
        <w:t>The level of relative impact federal investment into an area would have, in terms of:</w:t>
      </w:r>
    </w:p>
    <w:p w:rsidR="007B2121" w:rsidRPr="00A2307A" w:rsidRDefault="00B55E6C">
      <w:pPr>
        <w:pStyle w:val="normal0"/>
        <w:widowControl w:val="0"/>
        <w:numPr>
          <w:ilvl w:val="3"/>
          <w:numId w:val="1"/>
        </w:numPr>
        <w:ind w:hanging="359"/>
        <w:contextualSpacing/>
        <w:rPr>
          <w:rFonts w:ascii="Calibri" w:hAnsi="Calibri" w:cs="Calibri"/>
          <w:sz w:val="20"/>
          <w:szCs w:val="20"/>
        </w:rPr>
      </w:pPr>
      <w:r w:rsidRPr="00A2307A">
        <w:rPr>
          <w:rFonts w:ascii="Calibri" w:hAnsi="Calibri" w:cs="Calibri"/>
          <w:sz w:val="20"/>
          <w:szCs w:val="20"/>
        </w:rPr>
        <w:t>Positive effects on local employment levels,</w:t>
      </w:r>
    </w:p>
    <w:p w:rsidR="007B2121" w:rsidRPr="00A2307A" w:rsidRDefault="00B55E6C">
      <w:pPr>
        <w:pStyle w:val="normal0"/>
        <w:widowControl w:val="0"/>
        <w:numPr>
          <w:ilvl w:val="3"/>
          <w:numId w:val="1"/>
        </w:numPr>
        <w:ind w:hanging="359"/>
        <w:contextualSpacing/>
        <w:rPr>
          <w:rFonts w:ascii="Calibri" w:hAnsi="Calibri" w:cs="Calibri"/>
          <w:sz w:val="20"/>
          <w:szCs w:val="20"/>
        </w:rPr>
      </w:pPr>
      <w:r w:rsidRPr="00A2307A">
        <w:rPr>
          <w:rFonts w:ascii="Calibri" w:hAnsi="Calibri" w:cs="Calibri"/>
          <w:sz w:val="20"/>
          <w:szCs w:val="20"/>
        </w:rPr>
        <w:t>Positive infrastructure development,</w:t>
      </w:r>
    </w:p>
    <w:p w:rsidR="007B2121" w:rsidRPr="00A2307A" w:rsidRDefault="00B55E6C">
      <w:pPr>
        <w:pStyle w:val="normal0"/>
        <w:widowControl w:val="0"/>
        <w:numPr>
          <w:ilvl w:val="3"/>
          <w:numId w:val="1"/>
        </w:numPr>
        <w:ind w:hanging="359"/>
        <w:contextualSpacing/>
        <w:rPr>
          <w:rFonts w:ascii="Calibri" w:hAnsi="Calibri" w:cs="Calibri"/>
          <w:sz w:val="20"/>
          <w:szCs w:val="20"/>
        </w:rPr>
      </w:pPr>
      <w:r w:rsidRPr="00A2307A">
        <w:rPr>
          <w:rFonts w:ascii="Calibri" w:hAnsi="Calibri" w:cs="Calibri"/>
          <w:sz w:val="20"/>
          <w:szCs w:val="20"/>
        </w:rPr>
        <w:t>Overall increases in the local standard of living,</w:t>
      </w:r>
    </w:p>
    <w:p w:rsidR="007B2121" w:rsidRPr="00A2307A" w:rsidRDefault="00E47924">
      <w:pPr>
        <w:pStyle w:val="normal0"/>
        <w:widowControl w:val="0"/>
        <w:numPr>
          <w:ilvl w:val="2"/>
          <w:numId w:val="1"/>
        </w:numPr>
        <w:ind w:hanging="359"/>
        <w:contextualSpacing/>
        <w:rPr>
          <w:rFonts w:ascii="Calibri" w:hAnsi="Calibri" w:cs="Calibri"/>
          <w:sz w:val="20"/>
          <w:szCs w:val="20"/>
        </w:rPr>
      </w:pPr>
      <w:r>
        <w:rPr>
          <w:rFonts w:ascii="Calibri" w:hAnsi="Calibri" w:cs="Calibri"/>
          <w:sz w:val="20"/>
          <w:szCs w:val="20"/>
        </w:rPr>
        <w:t>Safety of the general area.</w:t>
      </w:r>
    </w:p>
    <w:p w:rsidR="007B2121" w:rsidRPr="00A2307A" w:rsidRDefault="007B2121">
      <w:pPr>
        <w:pStyle w:val="normal0"/>
        <w:widowControl w:val="0"/>
        <w:rPr>
          <w:rFonts w:ascii="Calibri" w:hAnsi="Calibri" w:cs="Calibri"/>
          <w:sz w:val="20"/>
          <w:szCs w:val="20"/>
        </w:rPr>
      </w:pPr>
    </w:p>
    <w:p w:rsidR="007B2121" w:rsidRPr="00A2307A" w:rsidRDefault="007B2121" w:rsidP="004879BC">
      <w:pPr>
        <w:pStyle w:val="normal0"/>
        <w:widowControl w:val="0"/>
        <w:ind w:left="720"/>
        <w:contextualSpacing/>
        <w:rPr>
          <w:rFonts w:ascii="Calibri" w:hAnsi="Calibri" w:cs="Calibri"/>
          <w:sz w:val="20"/>
          <w:szCs w:val="20"/>
        </w:rPr>
      </w:pPr>
    </w:p>
    <w:p w:rsidR="007B2121" w:rsidRPr="00A2307A" w:rsidRDefault="007B2121">
      <w:pPr>
        <w:pStyle w:val="normal0"/>
        <w:widowControl w:val="0"/>
        <w:rPr>
          <w:rFonts w:ascii="Calibri" w:hAnsi="Calibri" w:cs="Calibri"/>
          <w:sz w:val="20"/>
          <w:szCs w:val="20"/>
        </w:rPr>
      </w:pPr>
    </w:p>
    <w:p w:rsidR="007B2121" w:rsidRPr="00A2307A" w:rsidRDefault="007B2121">
      <w:pPr>
        <w:pStyle w:val="normal0"/>
        <w:widowControl w:val="0"/>
        <w:rPr>
          <w:rFonts w:ascii="Calibri" w:hAnsi="Calibri" w:cs="Calibri"/>
          <w:sz w:val="20"/>
          <w:szCs w:val="20"/>
        </w:rPr>
      </w:pPr>
    </w:p>
    <w:p w:rsidR="007B2121" w:rsidRPr="00A2307A" w:rsidRDefault="007B2121">
      <w:pPr>
        <w:pStyle w:val="normal0"/>
        <w:widowControl w:val="0"/>
        <w:rPr>
          <w:rFonts w:ascii="Calibri" w:hAnsi="Calibri" w:cs="Calibri"/>
          <w:sz w:val="20"/>
          <w:szCs w:val="20"/>
        </w:rPr>
      </w:pPr>
    </w:p>
    <w:p w:rsidR="007B2121" w:rsidRDefault="007B2121">
      <w:pPr>
        <w:pStyle w:val="normal0"/>
        <w:widowControl w:val="0"/>
        <w:ind w:left="1440"/>
      </w:pPr>
    </w:p>
    <w:sectPr w:rsidR="007B2121" w:rsidSect="007B2121">
      <w:pgSz w:w="12240" w:h="15840"/>
      <w:pgMar w:top="1440" w:right="1440" w:bottom="1440" w:left="13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812B2"/>
    <w:multiLevelType w:val="multilevel"/>
    <w:tmpl w:val="9724D896"/>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useFELayout/>
  </w:compat>
  <w:rsids>
    <w:rsidRoot w:val="007B2121"/>
    <w:rsid w:val="00157953"/>
    <w:rsid w:val="001C6AB3"/>
    <w:rsid w:val="00460AE4"/>
    <w:rsid w:val="004879BC"/>
    <w:rsid w:val="004E4F01"/>
    <w:rsid w:val="007B2121"/>
    <w:rsid w:val="00A2307A"/>
    <w:rsid w:val="00B55E6C"/>
    <w:rsid w:val="00CC706A"/>
    <w:rsid w:val="00E47924"/>
    <w:rsid w:val="00F268A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B3"/>
  </w:style>
  <w:style w:type="paragraph" w:styleId="Heading1">
    <w:name w:val="heading 1"/>
    <w:basedOn w:val="normal0"/>
    <w:next w:val="normal0"/>
    <w:rsid w:val="007B212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7B212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7B212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7B212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B212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B212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B2121"/>
    <w:pPr>
      <w:spacing w:after="0" w:line="276" w:lineRule="auto"/>
    </w:pPr>
    <w:rPr>
      <w:rFonts w:ascii="Arial" w:eastAsia="Arial" w:hAnsi="Arial" w:cs="Arial"/>
      <w:color w:val="000000"/>
      <w:sz w:val="22"/>
    </w:rPr>
  </w:style>
  <w:style w:type="paragraph" w:styleId="Title">
    <w:name w:val="Title"/>
    <w:basedOn w:val="normal0"/>
    <w:next w:val="normal0"/>
    <w:rsid w:val="007B2121"/>
    <w:pPr>
      <w:keepNext/>
      <w:keepLines/>
      <w:contextualSpacing/>
    </w:pPr>
    <w:rPr>
      <w:rFonts w:ascii="Trebuchet MS" w:eastAsia="Trebuchet MS" w:hAnsi="Trebuchet MS" w:cs="Trebuchet MS"/>
      <w:sz w:val="42"/>
    </w:rPr>
  </w:style>
  <w:style w:type="paragraph" w:styleId="Subtitle">
    <w:name w:val="Subtitle"/>
    <w:basedOn w:val="normal0"/>
    <w:next w:val="normal0"/>
    <w:rsid w:val="007B212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849</Words>
  <Characters>4844</Characters>
  <Application>Microsoft Office Word</Application>
  <DocSecurity>0</DocSecurity>
  <Lines>40</Lines>
  <Paragraphs>11</Paragraphs>
  <ScaleCrop>false</ScaleCrop>
  <Company>JIS</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FOBISIA Resolution: The question of countries with poor human rights records hosting international events.docx</dc:title>
  <dc:creator>Janet</dc:creator>
  <cp:lastModifiedBy>agulinck</cp:lastModifiedBy>
  <cp:revision>7</cp:revision>
  <dcterms:created xsi:type="dcterms:W3CDTF">2014-01-22T04:18:00Z</dcterms:created>
  <dcterms:modified xsi:type="dcterms:W3CDTF">2014-01-22T07:44:00Z</dcterms:modified>
</cp:coreProperties>
</file>